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F9" w:rsidRPr="005279F9" w:rsidRDefault="005279F9" w:rsidP="00C568A6">
      <w:pPr>
        <w:spacing w:after="0" w:line="240" w:lineRule="auto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5279F9">
        <w:rPr>
          <w:rFonts w:eastAsia="Times New Roman" w:cs="Times New Roman"/>
          <w:sz w:val="28"/>
          <w:szCs w:val="28"/>
        </w:rPr>
        <w:t>Northern Kentucky University</w:t>
      </w:r>
      <w:r w:rsidR="00616186">
        <w:rPr>
          <w:rFonts w:eastAsia="Times New Roman" w:cs="Times New Roman"/>
          <w:sz w:val="28"/>
          <w:szCs w:val="28"/>
        </w:rPr>
        <w:t xml:space="preserve"> Interdepartmental Bill and Recode Procedure</w:t>
      </w:r>
    </w:p>
    <w:p w:rsidR="00616186" w:rsidRDefault="00616186" w:rsidP="006E43D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E43D7" w:rsidRPr="00A653DA" w:rsidRDefault="006E43D7" w:rsidP="006E43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653DA">
        <w:rPr>
          <w:rFonts w:eastAsia="Times New Roman" w:cs="Times New Roman"/>
          <w:sz w:val="24"/>
          <w:szCs w:val="24"/>
        </w:rPr>
        <w:t>Responsibility</w:t>
      </w:r>
    </w:p>
    <w:p w:rsidR="006E43D7" w:rsidRPr="006E43D7" w:rsidRDefault="006E43D7" w:rsidP="006E43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E43D7">
        <w:rPr>
          <w:rFonts w:eastAsia="Times New Roman" w:cs="Times New Roman"/>
          <w:sz w:val="24"/>
          <w:szCs w:val="24"/>
        </w:rPr>
        <w:t xml:space="preserve">The account </w:t>
      </w:r>
      <w:r w:rsidRPr="00A653DA">
        <w:rPr>
          <w:rFonts w:eastAsia="Times New Roman" w:cs="Times New Roman"/>
          <w:sz w:val="24"/>
          <w:szCs w:val="24"/>
        </w:rPr>
        <w:t>responsible person</w:t>
      </w:r>
      <w:r w:rsidRPr="006E43D7">
        <w:rPr>
          <w:rFonts w:eastAsia="Times New Roman" w:cs="Times New Roman"/>
          <w:sz w:val="24"/>
          <w:szCs w:val="24"/>
        </w:rPr>
        <w:t>/principal investigator</w:t>
      </w:r>
      <w:r w:rsidR="00616186">
        <w:rPr>
          <w:rFonts w:eastAsia="Times New Roman" w:cs="Times New Roman"/>
          <w:sz w:val="24"/>
          <w:szCs w:val="24"/>
        </w:rPr>
        <w:t xml:space="preserve"> (PI)</w:t>
      </w:r>
      <w:r w:rsidRPr="006E43D7">
        <w:rPr>
          <w:rFonts w:eastAsia="Times New Roman" w:cs="Times New Roman"/>
          <w:sz w:val="24"/>
          <w:szCs w:val="24"/>
        </w:rPr>
        <w:t xml:space="preserve"> is designated as the individual who is fully responsible for the proper management of each </w:t>
      </w:r>
      <w:r w:rsidRPr="00A653DA">
        <w:rPr>
          <w:rFonts w:eastAsia="Times New Roman" w:cs="Times New Roman"/>
          <w:sz w:val="24"/>
          <w:szCs w:val="24"/>
        </w:rPr>
        <w:t>fund center/internal order/grant</w:t>
      </w:r>
      <w:r w:rsidRPr="006E43D7">
        <w:rPr>
          <w:rFonts w:eastAsia="Times New Roman" w:cs="Times New Roman"/>
          <w:sz w:val="24"/>
          <w:szCs w:val="24"/>
        </w:rPr>
        <w:t xml:space="preserve">. The account </w:t>
      </w:r>
      <w:r w:rsidRPr="00A653DA">
        <w:rPr>
          <w:rFonts w:eastAsia="Times New Roman" w:cs="Times New Roman"/>
          <w:sz w:val="24"/>
          <w:szCs w:val="24"/>
        </w:rPr>
        <w:t xml:space="preserve">responsible person </w:t>
      </w:r>
      <w:r w:rsidRPr="006E43D7">
        <w:rPr>
          <w:rFonts w:eastAsia="Times New Roman" w:cs="Times New Roman"/>
          <w:sz w:val="24"/>
          <w:szCs w:val="24"/>
        </w:rPr>
        <w:t xml:space="preserve">/principal investigator is expected to fulfill this responsibility by: </w:t>
      </w:r>
    </w:p>
    <w:p w:rsidR="006E43D7" w:rsidRPr="002F264E" w:rsidRDefault="006E43D7" w:rsidP="002F264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264E">
        <w:rPr>
          <w:rFonts w:eastAsia="Times New Roman" w:cs="Times New Roman"/>
          <w:sz w:val="24"/>
          <w:szCs w:val="24"/>
        </w:rPr>
        <w:t>Approving charges or activities used for recording the expenditures/revenues or designat</w:t>
      </w:r>
      <w:r w:rsidR="00616186">
        <w:rPr>
          <w:rFonts w:eastAsia="Times New Roman" w:cs="Times New Roman"/>
          <w:sz w:val="24"/>
          <w:szCs w:val="24"/>
        </w:rPr>
        <w:t>ing an authorized alternate to the</w:t>
      </w:r>
      <w:r w:rsidRPr="002F264E">
        <w:rPr>
          <w:rFonts w:eastAsia="Times New Roman" w:cs="Times New Roman"/>
          <w:sz w:val="24"/>
          <w:szCs w:val="24"/>
        </w:rPr>
        <w:t xml:space="preserve"> responsible person with authority to approve all such charges.</w:t>
      </w:r>
      <w:r w:rsidR="00616186">
        <w:rPr>
          <w:rFonts w:eastAsia="Times New Roman" w:cs="Times New Roman"/>
          <w:sz w:val="24"/>
          <w:szCs w:val="24"/>
        </w:rPr>
        <w:t xml:space="preserve"> (Grant responsible person will always be the PI.)</w:t>
      </w:r>
    </w:p>
    <w:p w:rsidR="006E43D7" w:rsidRPr="002F264E" w:rsidRDefault="006E43D7" w:rsidP="002F264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264E">
        <w:rPr>
          <w:rFonts w:eastAsia="Times New Roman" w:cs="Times New Roman"/>
          <w:sz w:val="24"/>
          <w:szCs w:val="24"/>
        </w:rPr>
        <w:t>Reviewing the monthly accounting reports on a timely basis to ascertain the propriety of all entries made</w:t>
      </w:r>
      <w:r w:rsidR="000A02A1">
        <w:rPr>
          <w:rFonts w:eastAsia="Times New Roman" w:cs="Times New Roman"/>
          <w:sz w:val="24"/>
          <w:szCs w:val="24"/>
        </w:rPr>
        <w:t xml:space="preserve"> in SAP</w:t>
      </w:r>
      <w:r w:rsidRPr="002F264E">
        <w:rPr>
          <w:rFonts w:eastAsia="Times New Roman" w:cs="Times New Roman"/>
          <w:sz w:val="24"/>
          <w:szCs w:val="24"/>
        </w:rPr>
        <w:t>.</w:t>
      </w:r>
    </w:p>
    <w:p w:rsidR="006E43D7" w:rsidRPr="002F264E" w:rsidRDefault="006E43D7" w:rsidP="002F264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264E">
        <w:rPr>
          <w:rFonts w:eastAsia="Times New Roman" w:cs="Times New Roman"/>
          <w:sz w:val="24"/>
          <w:szCs w:val="24"/>
        </w:rPr>
        <w:t xml:space="preserve">Initiating any necessary corrections and/or appropriate transfers, </w:t>
      </w:r>
      <w:r w:rsidR="00616186">
        <w:rPr>
          <w:rFonts w:eastAsia="Times New Roman" w:cs="Times New Roman"/>
          <w:sz w:val="24"/>
          <w:szCs w:val="24"/>
        </w:rPr>
        <w:t>consistent with this p</w:t>
      </w:r>
      <w:r w:rsidRPr="002F264E">
        <w:rPr>
          <w:rFonts w:eastAsia="Times New Roman" w:cs="Times New Roman"/>
          <w:sz w:val="24"/>
          <w:szCs w:val="24"/>
        </w:rPr>
        <w:t>rocedure statement.</w:t>
      </w:r>
    </w:p>
    <w:p w:rsidR="00253409" w:rsidRPr="00A653DA" w:rsidRDefault="00C568A6" w:rsidP="00C568A6">
      <w:pPr>
        <w:spacing w:before="100" w:beforeAutospacing="1" w:after="100" w:afterAutospacing="1" w:line="240" w:lineRule="auto"/>
        <w:rPr>
          <w:rStyle w:val="Strong"/>
          <w:b w:val="0"/>
          <w:sz w:val="24"/>
          <w:szCs w:val="24"/>
        </w:rPr>
      </w:pPr>
      <w:r w:rsidRPr="00A653DA">
        <w:rPr>
          <w:rFonts w:eastAsia="Times New Roman" w:cs="Times New Roman"/>
          <w:sz w:val="24"/>
          <w:szCs w:val="24"/>
        </w:rPr>
        <w:t>Definitions</w:t>
      </w:r>
      <w:r w:rsidR="00253409" w:rsidRPr="00A653DA">
        <w:rPr>
          <w:rStyle w:val="Strong"/>
          <w:b w:val="0"/>
          <w:sz w:val="24"/>
          <w:szCs w:val="24"/>
        </w:rPr>
        <w:t xml:space="preserve"> </w:t>
      </w:r>
    </w:p>
    <w:p w:rsidR="00777F61" w:rsidRPr="00616186" w:rsidRDefault="00253409" w:rsidP="000514A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6186">
        <w:rPr>
          <w:rStyle w:val="Strong"/>
          <w:b w:val="0"/>
          <w:sz w:val="24"/>
          <w:szCs w:val="24"/>
        </w:rPr>
        <w:t xml:space="preserve">A </w:t>
      </w:r>
      <w:r w:rsidR="00616186" w:rsidRPr="00616186">
        <w:rPr>
          <w:rStyle w:val="Strong"/>
          <w:b w:val="0"/>
          <w:sz w:val="24"/>
          <w:szCs w:val="24"/>
        </w:rPr>
        <w:t>recode</w:t>
      </w:r>
      <w:r w:rsidRPr="00616186">
        <w:rPr>
          <w:rStyle w:val="Strong"/>
          <w:b w:val="0"/>
          <w:sz w:val="24"/>
          <w:szCs w:val="24"/>
        </w:rPr>
        <w:t xml:space="preserve"> is an after-the-fact reallocation of costs or revenue, either salary or non-salary costs, to </w:t>
      </w:r>
      <w:r w:rsidRPr="00616186">
        <w:rPr>
          <w:rFonts w:eastAsia="Times New Roman" w:cs="Times New Roman"/>
          <w:sz w:val="24"/>
          <w:szCs w:val="24"/>
        </w:rPr>
        <w:t>one fund center/internal order/grant from another fund center/internal order/grant</w:t>
      </w:r>
      <w:r w:rsidR="00616186" w:rsidRPr="00616186">
        <w:rPr>
          <w:rFonts w:eastAsia="Times New Roman" w:cs="Times New Roman"/>
          <w:sz w:val="24"/>
          <w:szCs w:val="24"/>
        </w:rPr>
        <w:t xml:space="preserve"> or a reclassification of charges</w:t>
      </w:r>
      <w:r w:rsidR="000A02A1">
        <w:rPr>
          <w:rFonts w:eastAsia="Times New Roman" w:cs="Times New Roman"/>
          <w:sz w:val="24"/>
          <w:szCs w:val="24"/>
        </w:rPr>
        <w:t xml:space="preserve"> (commitment item/gl)</w:t>
      </w:r>
      <w:r w:rsidR="00616186" w:rsidRPr="00616186">
        <w:rPr>
          <w:rFonts w:eastAsia="Times New Roman" w:cs="Times New Roman"/>
          <w:sz w:val="24"/>
          <w:szCs w:val="24"/>
        </w:rPr>
        <w:t xml:space="preserve"> within a fund center/internal order/grant.</w:t>
      </w:r>
      <w:r w:rsidR="00616186">
        <w:rPr>
          <w:rFonts w:eastAsia="Times New Roman" w:cs="Times New Roman"/>
          <w:sz w:val="24"/>
          <w:szCs w:val="24"/>
        </w:rPr>
        <w:t xml:space="preserve">  </w:t>
      </w:r>
      <w:r w:rsidR="00616186" w:rsidRPr="00616186">
        <w:rPr>
          <w:rFonts w:eastAsia="Times New Roman" w:cs="Times New Roman"/>
          <w:sz w:val="24"/>
          <w:szCs w:val="24"/>
        </w:rPr>
        <w:t>T</w:t>
      </w:r>
      <w:r w:rsidR="00616186">
        <w:rPr>
          <w:rFonts w:eastAsia="Times New Roman" w:cs="Times New Roman"/>
          <w:sz w:val="24"/>
          <w:szCs w:val="24"/>
        </w:rPr>
        <w:t>here are four types of recodes.</w:t>
      </w:r>
    </w:p>
    <w:p w:rsidR="00C568A6" w:rsidRPr="002F264E" w:rsidRDefault="00616186" w:rsidP="002F264E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Revenue</w:t>
      </w:r>
      <w:r w:rsidR="00253409" w:rsidRPr="002F264E"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z w:val="24"/>
          <w:szCs w:val="24"/>
        </w:rPr>
        <w:t>deposits that require a correction</w:t>
      </w:r>
    </w:p>
    <w:p w:rsidR="00C568A6" w:rsidRPr="00616186" w:rsidRDefault="00C036C8" w:rsidP="002F264E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F264E">
        <w:rPr>
          <w:rFonts w:eastAsia="Times New Roman" w:cs="Times New Roman"/>
          <w:sz w:val="24"/>
          <w:szCs w:val="24"/>
        </w:rPr>
        <w:t>Labor</w:t>
      </w:r>
      <w:r w:rsidR="00616186">
        <w:rPr>
          <w:rFonts w:eastAsia="Times New Roman" w:cs="Times New Roman"/>
          <w:sz w:val="24"/>
          <w:szCs w:val="24"/>
        </w:rPr>
        <w:t>--</w:t>
      </w:r>
      <w:r w:rsidR="00C568A6" w:rsidRPr="002F264E">
        <w:rPr>
          <w:sz w:val="24"/>
          <w:szCs w:val="24"/>
        </w:rPr>
        <w:t>Corrections made to assure that payroll records accurately report services actually performed for a specific purpose</w:t>
      </w:r>
    </w:p>
    <w:p w:rsidR="00616186" w:rsidRPr="00616186" w:rsidRDefault="00616186" w:rsidP="002F264E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Procard—Corrections made to charges incurred on a University procard.</w:t>
      </w:r>
    </w:p>
    <w:p w:rsidR="00616186" w:rsidRPr="00616186" w:rsidRDefault="00616186" w:rsidP="002F264E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Other—all other charges not related to </w:t>
      </w:r>
      <w:r w:rsidR="000A02A1">
        <w:rPr>
          <w:sz w:val="24"/>
          <w:szCs w:val="24"/>
        </w:rPr>
        <w:t>salary</w:t>
      </w:r>
      <w:r>
        <w:rPr>
          <w:sz w:val="24"/>
          <w:szCs w:val="24"/>
        </w:rPr>
        <w:t>, benefit, procard or revenue transactions.</w:t>
      </w:r>
    </w:p>
    <w:p w:rsidR="00616186" w:rsidRPr="00616186" w:rsidRDefault="00616186" w:rsidP="00616186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An interdepartmental billing (IB) is a charge to a University or Foundation cost center</w:t>
      </w:r>
      <w:r w:rsidR="000A02A1">
        <w:rPr>
          <w:sz w:val="24"/>
          <w:szCs w:val="24"/>
        </w:rPr>
        <w:t>/grant/internal order</w:t>
      </w:r>
      <w:r>
        <w:rPr>
          <w:sz w:val="24"/>
          <w:szCs w:val="24"/>
        </w:rPr>
        <w:t xml:space="preserve"> for a service provided by another University or Foundation cost center</w:t>
      </w:r>
      <w:r w:rsidR="000A02A1">
        <w:rPr>
          <w:sz w:val="24"/>
          <w:szCs w:val="24"/>
        </w:rPr>
        <w:t>/grant/internal order</w:t>
      </w:r>
      <w:r>
        <w:rPr>
          <w:sz w:val="24"/>
          <w:szCs w:val="24"/>
        </w:rPr>
        <w:t>.  The department providing the service initiates the IB workflow.</w:t>
      </w:r>
    </w:p>
    <w:p w:rsidR="00616186" w:rsidRDefault="00616186" w:rsidP="00616186">
      <w:pPr>
        <w:pStyle w:val="ListParagraph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Examples of proper use of the IB:</w:t>
      </w:r>
    </w:p>
    <w:p w:rsidR="00616186" w:rsidRDefault="00616186" w:rsidP="0061618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Student Union equipment rental</w:t>
      </w:r>
    </w:p>
    <w:p w:rsidR="00616186" w:rsidRDefault="00616186" w:rsidP="00616186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6186">
        <w:rPr>
          <w:rFonts w:eastAsia="Times New Roman" w:cs="Times New Roman"/>
          <w:sz w:val="24"/>
          <w:szCs w:val="24"/>
        </w:rPr>
        <w:t>Sponsorship of campus event</w:t>
      </w:r>
    </w:p>
    <w:p w:rsidR="00616186" w:rsidRDefault="00616186" w:rsidP="00616186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16186">
        <w:rPr>
          <w:rFonts w:eastAsia="Times New Roman" w:cs="Times New Roman"/>
          <w:sz w:val="24"/>
          <w:szCs w:val="24"/>
        </w:rPr>
        <w:t>Examples of improper use of the IB:</w:t>
      </w:r>
    </w:p>
    <w:p w:rsidR="00616186" w:rsidRDefault="00616186" w:rsidP="0061618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Purchase order processed to the wrong account number (This is a recode.)</w:t>
      </w:r>
    </w:p>
    <w:p w:rsidR="00616186" w:rsidRPr="00616186" w:rsidRDefault="00616186" w:rsidP="0061618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Reimburse a department for a shared expense (This is a recode.)</w:t>
      </w:r>
    </w:p>
    <w:p w:rsidR="00616186" w:rsidRPr="00616186" w:rsidRDefault="00616186" w:rsidP="0061618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C568A6" w:rsidRDefault="00616186" w:rsidP="008A39D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Procedure</w:t>
      </w:r>
    </w:p>
    <w:p w:rsidR="007843D4" w:rsidRPr="00C568A6" w:rsidRDefault="007843D4" w:rsidP="002713E7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Recodes</w:t>
      </w:r>
      <w:r>
        <w:rPr>
          <w:sz w:val="24"/>
          <w:szCs w:val="24"/>
        </w:rPr>
        <w:t>--Initiate a recode request for procard charges or expenses not related to payroll through the MyNKU FI request tab.  Instructions for completing this request can be found at</w:t>
      </w:r>
      <w:r w:rsidR="002713E7">
        <w:rPr>
          <w:sz w:val="24"/>
          <w:szCs w:val="24"/>
        </w:rPr>
        <w:t xml:space="preserve"> </w:t>
      </w:r>
      <w:hyperlink r:id="rId8" w:history="1">
        <w:r w:rsidR="002713E7" w:rsidRPr="00935E6B">
          <w:rPr>
            <w:rStyle w:val="Hyperlink"/>
            <w:sz w:val="24"/>
            <w:szCs w:val="24"/>
          </w:rPr>
          <w:t>http://mynkuhelp.nku.edu/tabbased/firequest.html</w:t>
        </w:r>
      </w:hyperlink>
      <w:r w:rsidR="002713E7">
        <w:rPr>
          <w:sz w:val="24"/>
          <w:szCs w:val="24"/>
        </w:rPr>
        <w:t>.</w:t>
      </w:r>
    </w:p>
    <w:p w:rsidR="00C568A6" w:rsidRDefault="00253409" w:rsidP="00763A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53DA">
        <w:rPr>
          <w:sz w:val="24"/>
          <w:szCs w:val="24"/>
        </w:rPr>
        <w:lastRenderedPageBreak/>
        <w:t xml:space="preserve">To be considered allowable, all </w:t>
      </w:r>
      <w:r w:rsidR="00616186">
        <w:rPr>
          <w:sz w:val="24"/>
          <w:szCs w:val="24"/>
        </w:rPr>
        <w:t>recodes</w:t>
      </w:r>
      <w:r w:rsidRPr="00A653DA">
        <w:rPr>
          <w:sz w:val="24"/>
          <w:szCs w:val="24"/>
        </w:rPr>
        <w:t xml:space="preserve"> must be timely, documented and explained in detail, adhere to the sponsor's standards</w:t>
      </w:r>
      <w:r w:rsidR="00616186">
        <w:rPr>
          <w:sz w:val="24"/>
          <w:szCs w:val="24"/>
        </w:rPr>
        <w:t xml:space="preserve"> if applicable</w:t>
      </w:r>
      <w:r w:rsidRPr="00A653DA">
        <w:rPr>
          <w:sz w:val="24"/>
          <w:szCs w:val="24"/>
        </w:rPr>
        <w:t>, and have all ap</w:t>
      </w:r>
      <w:r w:rsidR="00616186">
        <w:rPr>
          <w:sz w:val="24"/>
          <w:szCs w:val="24"/>
        </w:rPr>
        <w:t>propriate approvals</w:t>
      </w:r>
      <w:r w:rsidRPr="00A653DA">
        <w:rPr>
          <w:sz w:val="24"/>
          <w:szCs w:val="24"/>
        </w:rPr>
        <w:t xml:space="preserve">. </w:t>
      </w:r>
      <w:r w:rsidR="00616186">
        <w:rPr>
          <w:sz w:val="24"/>
          <w:szCs w:val="24"/>
        </w:rPr>
        <w:t>Recodes</w:t>
      </w:r>
      <w:r w:rsidRPr="00A653DA">
        <w:rPr>
          <w:sz w:val="24"/>
          <w:szCs w:val="24"/>
        </w:rPr>
        <w:t xml:space="preserve"> should be prepared and submitted as s</w:t>
      </w:r>
      <w:r w:rsidR="00A11C40">
        <w:rPr>
          <w:sz w:val="24"/>
          <w:szCs w:val="24"/>
        </w:rPr>
        <w:t>oon as the need for the correction</w:t>
      </w:r>
      <w:r w:rsidRPr="00A653DA">
        <w:rPr>
          <w:sz w:val="24"/>
          <w:szCs w:val="24"/>
        </w:rPr>
        <w:t xml:space="preserve"> is identified, </w:t>
      </w:r>
      <w:r w:rsidR="00616186">
        <w:rPr>
          <w:sz w:val="24"/>
          <w:szCs w:val="24"/>
        </w:rPr>
        <w:t>no</w:t>
      </w:r>
      <w:r w:rsidRPr="00A653DA">
        <w:rPr>
          <w:sz w:val="24"/>
          <w:szCs w:val="24"/>
        </w:rPr>
        <w:t xml:space="preserve"> later than </w:t>
      </w:r>
      <w:r w:rsidR="007B1EC3">
        <w:rPr>
          <w:sz w:val="24"/>
          <w:szCs w:val="24"/>
        </w:rPr>
        <w:t>60</w:t>
      </w:r>
      <w:r w:rsidRPr="00A653DA">
        <w:rPr>
          <w:sz w:val="24"/>
          <w:szCs w:val="24"/>
        </w:rPr>
        <w:t xml:space="preserve"> days from the posting date in SAP.</w:t>
      </w:r>
      <w:r w:rsidR="003903C6">
        <w:rPr>
          <w:sz w:val="24"/>
          <w:szCs w:val="24"/>
        </w:rPr>
        <w:t xml:space="preserve"> During the year-end closing process the recode deadlines will be published on the Comptroller’s office website </w:t>
      </w:r>
      <w:hyperlink r:id="rId9" w:history="1">
        <w:r w:rsidR="00763A3A" w:rsidRPr="00A10781">
          <w:rPr>
            <w:rStyle w:val="Hyperlink"/>
            <w:sz w:val="24"/>
            <w:szCs w:val="24"/>
          </w:rPr>
          <w:t>http://comptroller.nku.edu/Fiscalyearendclosing.html</w:t>
        </w:r>
      </w:hyperlink>
      <w:r w:rsidR="00763A3A">
        <w:rPr>
          <w:sz w:val="24"/>
          <w:szCs w:val="24"/>
        </w:rPr>
        <w:t xml:space="preserve"> .</w:t>
      </w:r>
    </w:p>
    <w:p w:rsidR="00241039" w:rsidRDefault="002713E7" w:rsidP="00A653D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Listed below are some examples of </w:t>
      </w:r>
      <w:r w:rsidR="00616186">
        <w:rPr>
          <w:sz w:val="24"/>
          <w:szCs w:val="24"/>
        </w:rPr>
        <w:t>recode request</w:t>
      </w:r>
      <w:r>
        <w:rPr>
          <w:sz w:val="24"/>
          <w:szCs w:val="24"/>
        </w:rPr>
        <w:t>s</w:t>
      </w:r>
      <w:r w:rsidR="00616186">
        <w:rPr>
          <w:sz w:val="24"/>
          <w:szCs w:val="24"/>
        </w:rPr>
        <w:t xml:space="preserve"> submitted through workflow </w:t>
      </w:r>
      <w:r>
        <w:rPr>
          <w:sz w:val="24"/>
          <w:szCs w:val="24"/>
        </w:rPr>
        <w:t>that</w:t>
      </w:r>
      <w:r w:rsidR="00241039">
        <w:rPr>
          <w:sz w:val="24"/>
          <w:szCs w:val="24"/>
        </w:rPr>
        <w:t xml:space="preserve"> will be </w:t>
      </w:r>
      <w:r w:rsidR="00241039" w:rsidRPr="007B1EC3">
        <w:rPr>
          <w:b/>
          <w:sz w:val="24"/>
          <w:szCs w:val="24"/>
        </w:rPr>
        <w:t>rejected</w:t>
      </w:r>
      <w:r w:rsidR="00616186">
        <w:rPr>
          <w:b/>
          <w:sz w:val="24"/>
          <w:szCs w:val="24"/>
        </w:rPr>
        <w:t xml:space="preserve"> or returned to the initiator for correction.</w:t>
      </w:r>
      <w:r w:rsidR="00241039">
        <w:rPr>
          <w:sz w:val="24"/>
          <w:szCs w:val="24"/>
        </w:rPr>
        <w:t xml:space="preserve">  </w:t>
      </w:r>
    </w:p>
    <w:p w:rsidR="00241039" w:rsidRDefault="00241039" w:rsidP="0024103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Adequate documentation is not provided with the request</w:t>
      </w:r>
      <w:r w:rsidR="002713E7">
        <w:rPr>
          <w:sz w:val="24"/>
          <w:szCs w:val="24"/>
        </w:rPr>
        <w:t>.  Proper documentation includes</w:t>
      </w:r>
      <w:r w:rsidR="00250A01">
        <w:rPr>
          <w:sz w:val="24"/>
          <w:szCs w:val="24"/>
        </w:rPr>
        <w:t xml:space="preserve"> a thorough description of the error.  Simply saying to recode $x.xx from one gl</w:t>
      </w:r>
      <w:r w:rsidR="003903C6">
        <w:rPr>
          <w:sz w:val="24"/>
          <w:szCs w:val="24"/>
        </w:rPr>
        <w:t xml:space="preserve"> account</w:t>
      </w:r>
      <w:r w:rsidR="00250A01">
        <w:rPr>
          <w:sz w:val="24"/>
          <w:szCs w:val="24"/>
        </w:rPr>
        <w:t xml:space="preserve"> to the other in most cases is not sufficient justification.</w:t>
      </w:r>
    </w:p>
    <w:p w:rsidR="00241039" w:rsidRDefault="00250A01" w:rsidP="0024103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sole purpose of the recode</w:t>
      </w:r>
      <w:r w:rsidR="00241039">
        <w:rPr>
          <w:sz w:val="24"/>
          <w:szCs w:val="24"/>
        </w:rPr>
        <w:t xml:space="preserve"> is to cover a budgetary deficit.  A budget trans</w:t>
      </w:r>
      <w:r>
        <w:rPr>
          <w:sz w:val="24"/>
          <w:szCs w:val="24"/>
        </w:rPr>
        <w:t xml:space="preserve">fer is required </w:t>
      </w:r>
      <w:r w:rsidRPr="00250A01">
        <w:rPr>
          <w:b/>
          <w:sz w:val="24"/>
          <w:szCs w:val="24"/>
        </w:rPr>
        <w:t>not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recode.</w:t>
      </w:r>
    </w:p>
    <w:p w:rsidR="00241039" w:rsidRDefault="00241039" w:rsidP="00241039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sole purpose is to “use up” unspent funds in awards/grants etc.</w:t>
      </w:r>
      <w:r w:rsidR="00250A01">
        <w:rPr>
          <w:sz w:val="24"/>
          <w:szCs w:val="24"/>
        </w:rPr>
        <w:t xml:space="preserve"> This is not allowed.  </w:t>
      </w:r>
    </w:p>
    <w:p w:rsidR="00BC51F6" w:rsidRDefault="002F264E" w:rsidP="00BC51F6">
      <w:pPr>
        <w:rPr>
          <w:sz w:val="24"/>
          <w:szCs w:val="24"/>
        </w:rPr>
      </w:pPr>
      <w:r>
        <w:t>For labor</w:t>
      </w:r>
      <w:r w:rsidR="00250A01">
        <w:t xml:space="preserve"> and benefit</w:t>
      </w:r>
      <w:r>
        <w:t xml:space="preserve"> related reallocations please </w:t>
      </w:r>
      <w:r w:rsidR="00BC51F6">
        <w:t>follow the procedures</w:t>
      </w:r>
      <w:r>
        <w:t xml:space="preserve"> on </w:t>
      </w:r>
      <w:r w:rsidR="00BC51F6">
        <w:t xml:space="preserve">the </w:t>
      </w:r>
      <w:r>
        <w:t>HR website</w:t>
      </w:r>
      <w:r w:rsidR="00BC51F6">
        <w:t xml:space="preserve"> and submit the following form. </w:t>
      </w:r>
      <w:r>
        <w:t xml:space="preserve"> </w:t>
      </w:r>
      <w:hyperlink r:id="rId10" w:history="1">
        <w:r w:rsidR="00BC51F6">
          <w:rPr>
            <w:rStyle w:val="Hyperlink"/>
            <w:sz w:val="24"/>
            <w:szCs w:val="24"/>
          </w:rPr>
          <w:t>http://hr.nku.edu/content/dam/human-resources/toolkit-docs/Labor_Distribution_Discrepancy_Request_.pdf</w:t>
        </w:r>
      </w:hyperlink>
    </w:p>
    <w:p w:rsidR="00C036C8" w:rsidRDefault="007543C2">
      <w:r>
        <w:t>Recode requests related to deposits made at the Cashier’s window in Student Account Services should be submitted to</w:t>
      </w:r>
      <w:r w:rsidR="00075FEF">
        <w:t xml:space="preserve"> studentaccountservices@nku.edu</w:t>
      </w:r>
      <w:r>
        <w:t xml:space="preserve">.  Recode requests related to ACH deposits should be </w:t>
      </w:r>
      <w:r w:rsidR="003903C6">
        <w:t>sent to comptroller@nku.edu.</w:t>
      </w:r>
    </w:p>
    <w:p w:rsidR="00C036C8" w:rsidRDefault="00C036C8"/>
    <w:sectPr w:rsidR="00C036C8" w:rsidSect="008A39D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A7" w:rsidRDefault="00D251A7" w:rsidP="00E03BF8">
      <w:pPr>
        <w:spacing w:after="0" w:line="240" w:lineRule="auto"/>
      </w:pPr>
      <w:r>
        <w:separator/>
      </w:r>
    </w:p>
  </w:endnote>
  <w:endnote w:type="continuationSeparator" w:id="0">
    <w:p w:rsidR="00D251A7" w:rsidRDefault="00D251A7" w:rsidP="00E0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A7" w:rsidRDefault="00D251A7" w:rsidP="00E03BF8">
      <w:pPr>
        <w:spacing w:after="0" w:line="240" w:lineRule="auto"/>
      </w:pPr>
      <w:r>
        <w:separator/>
      </w:r>
    </w:p>
  </w:footnote>
  <w:footnote w:type="continuationSeparator" w:id="0">
    <w:p w:rsidR="00D251A7" w:rsidRDefault="00D251A7" w:rsidP="00E0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3BE"/>
    <w:multiLevelType w:val="multilevel"/>
    <w:tmpl w:val="4D6E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D4D31"/>
    <w:multiLevelType w:val="hybridMultilevel"/>
    <w:tmpl w:val="4F2E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4AD6"/>
    <w:multiLevelType w:val="hybridMultilevel"/>
    <w:tmpl w:val="4AE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1D55"/>
    <w:multiLevelType w:val="hybridMultilevel"/>
    <w:tmpl w:val="0304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2D09"/>
    <w:multiLevelType w:val="hybridMultilevel"/>
    <w:tmpl w:val="E35E4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CC2910"/>
    <w:multiLevelType w:val="hybridMultilevel"/>
    <w:tmpl w:val="215E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7D98"/>
    <w:multiLevelType w:val="hybridMultilevel"/>
    <w:tmpl w:val="259AD53A"/>
    <w:lvl w:ilvl="0" w:tplc="92CAB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04CA2">
      <w:start w:val="18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86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6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09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E0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82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4B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0F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5F434B"/>
    <w:multiLevelType w:val="hybridMultilevel"/>
    <w:tmpl w:val="AD82DC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314A45"/>
    <w:multiLevelType w:val="multilevel"/>
    <w:tmpl w:val="FAA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15DCE"/>
    <w:multiLevelType w:val="hybridMultilevel"/>
    <w:tmpl w:val="D88AB376"/>
    <w:lvl w:ilvl="0" w:tplc="4880E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E9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8C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EB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E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E4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64A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0E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8E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A6"/>
    <w:rsid w:val="00013D15"/>
    <w:rsid w:val="00075FEF"/>
    <w:rsid w:val="000A02A1"/>
    <w:rsid w:val="00241039"/>
    <w:rsid w:val="00250A01"/>
    <w:rsid w:val="00253409"/>
    <w:rsid w:val="002713E7"/>
    <w:rsid w:val="002F264E"/>
    <w:rsid w:val="003903C6"/>
    <w:rsid w:val="005279F9"/>
    <w:rsid w:val="005930BF"/>
    <w:rsid w:val="00616186"/>
    <w:rsid w:val="006E43D7"/>
    <w:rsid w:val="007543C2"/>
    <w:rsid w:val="00763A3A"/>
    <w:rsid w:val="00777F61"/>
    <w:rsid w:val="007843D4"/>
    <w:rsid w:val="007B1EC3"/>
    <w:rsid w:val="008A39D0"/>
    <w:rsid w:val="00A11C40"/>
    <w:rsid w:val="00A653DA"/>
    <w:rsid w:val="00A728CC"/>
    <w:rsid w:val="00BC51F6"/>
    <w:rsid w:val="00C036C8"/>
    <w:rsid w:val="00C568A6"/>
    <w:rsid w:val="00CA4E47"/>
    <w:rsid w:val="00D22929"/>
    <w:rsid w:val="00D251A7"/>
    <w:rsid w:val="00E03BF8"/>
    <w:rsid w:val="00E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B22612-F62B-49E6-88B6-2A0E3FF0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409"/>
    <w:rPr>
      <w:b/>
      <w:bCs/>
    </w:rPr>
  </w:style>
  <w:style w:type="character" w:styleId="Hyperlink">
    <w:name w:val="Hyperlink"/>
    <w:basedOn w:val="DefaultParagraphFont"/>
    <w:uiPriority w:val="99"/>
    <w:unhideWhenUsed/>
    <w:rsid w:val="002534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BF8"/>
  </w:style>
  <w:style w:type="paragraph" w:styleId="Footer">
    <w:name w:val="footer"/>
    <w:basedOn w:val="Normal"/>
    <w:link w:val="FooterChar"/>
    <w:uiPriority w:val="99"/>
    <w:semiHidden/>
    <w:unhideWhenUsed/>
    <w:rsid w:val="00E0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BF8"/>
  </w:style>
  <w:style w:type="paragraph" w:styleId="BalloonText">
    <w:name w:val="Balloon Text"/>
    <w:basedOn w:val="Normal"/>
    <w:link w:val="BalloonTextChar"/>
    <w:uiPriority w:val="99"/>
    <w:semiHidden/>
    <w:unhideWhenUsed/>
    <w:rsid w:val="0061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nkuhelp.nku.edu/tabbased/fireque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r.nku.edu/content/dam/human-resources/toolkit-docs/Labor_Distribution_Discrepancy_Request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troller.nku.edu/Fiscalyearendclo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25BA-D2D7-4F4A-A8BF-FFAF0893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robertsb</dc:creator>
  <cp:keywords/>
  <dc:description/>
  <cp:lastModifiedBy>Becky Bishop</cp:lastModifiedBy>
  <cp:revision>2</cp:revision>
  <cp:lastPrinted>2017-01-05T19:24:00Z</cp:lastPrinted>
  <dcterms:created xsi:type="dcterms:W3CDTF">2017-01-06T19:23:00Z</dcterms:created>
  <dcterms:modified xsi:type="dcterms:W3CDTF">2017-01-06T19:23:00Z</dcterms:modified>
</cp:coreProperties>
</file>